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EBD" w:rsidRDefault="001075E6">
      <w:pPr>
        <w:spacing w:after="1" w:line="259" w:lineRule="auto"/>
        <w:ind w:right="120" w:firstLine="0"/>
        <w:jc w:val="right"/>
      </w:pPr>
      <w:r>
        <w:t xml:space="preserve"> </w:t>
      </w:r>
    </w:p>
    <w:p w:rsidR="001A1EBD" w:rsidRDefault="001075E6">
      <w:pPr>
        <w:spacing w:after="635" w:line="259" w:lineRule="auto"/>
        <w:ind w:left="12" w:right="0" w:firstLine="0"/>
      </w:pPr>
      <w:r>
        <w:rPr>
          <w:rFonts w:ascii="游明朝" w:eastAsia="游明朝" w:hAnsi="游明朝" w:cs="游明朝"/>
        </w:rPr>
        <w:t xml:space="preserve"> </w:t>
      </w:r>
      <w:r>
        <w:t xml:space="preserve"> </w:t>
      </w:r>
    </w:p>
    <w:p w:rsidR="001A1EBD" w:rsidRDefault="001075E6">
      <w:pPr>
        <w:spacing w:after="55" w:line="259" w:lineRule="auto"/>
        <w:ind w:right="205" w:firstLine="0"/>
        <w:jc w:val="center"/>
      </w:pPr>
      <w:r>
        <w:rPr>
          <w:sz w:val="28"/>
        </w:rPr>
        <w:t xml:space="preserve">役員の利益相反防止のための自己申告等に関する規程 </w:t>
      </w:r>
      <w:r>
        <w:t xml:space="preserve"> </w:t>
      </w:r>
    </w:p>
    <w:p w:rsidR="001A1EBD" w:rsidRDefault="001075E6">
      <w:pPr>
        <w:spacing w:after="62" w:line="259" w:lineRule="auto"/>
        <w:ind w:left="12" w:right="0" w:firstLine="0"/>
      </w:pPr>
      <w:r>
        <w:t xml:space="preserve">   </w:t>
      </w:r>
    </w:p>
    <w:p w:rsidR="001A1EBD" w:rsidRDefault="001075E6">
      <w:pPr>
        <w:spacing w:after="99"/>
        <w:ind w:left="10" w:hanging="10"/>
        <w:jc w:val="center"/>
      </w:pPr>
      <w:r>
        <w:t xml:space="preserve">第１章 総則  </w:t>
      </w:r>
    </w:p>
    <w:p w:rsidR="001A1EBD" w:rsidRDefault="001075E6">
      <w:pPr>
        <w:spacing w:after="102" w:line="259" w:lineRule="auto"/>
        <w:ind w:left="12" w:right="0" w:firstLine="0"/>
      </w:pPr>
      <w:r>
        <w:t xml:space="preserve">   </w:t>
      </w:r>
    </w:p>
    <w:p w:rsidR="001A1EBD" w:rsidRDefault="001075E6">
      <w:pPr>
        <w:ind w:left="-15" w:right="0"/>
      </w:pPr>
      <w:r>
        <w:t xml:space="preserve">（目的）   </w:t>
      </w:r>
    </w:p>
    <w:p w:rsidR="001A1EBD" w:rsidRDefault="001075E6">
      <w:pPr>
        <w:spacing w:after="78"/>
        <w:ind w:left="721" w:right="0" w:hanging="736"/>
      </w:pPr>
      <w:r>
        <w:t>第１条</w:t>
      </w:r>
      <w:r>
        <w:rPr>
          <w:rFonts w:ascii="Arial" w:eastAsia="Arial" w:hAnsi="Arial" w:cs="Arial"/>
        </w:rPr>
        <w:t xml:space="preserve"> </w:t>
      </w:r>
      <w:r>
        <w:t xml:space="preserve">この規程は、一般社団法人全国フードバンク推進協議会（以下、「この法人」という）の倫理規程に基づき、この法人の理事および監事（以下、「理事」という）、並びに職員の利益相反を適切に管理し、かつ、利益相反による不利益の防止を図ることを目的とする。  </w:t>
      </w:r>
    </w:p>
    <w:p w:rsidR="001A1EBD" w:rsidRDefault="001075E6">
      <w:pPr>
        <w:spacing w:after="106" w:line="259" w:lineRule="auto"/>
        <w:ind w:left="12" w:right="0" w:firstLine="0"/>
      </w:pPr>
      <w:r>
        <w:t xml:space="preserve">  </w:t>
      </w:r>
    </w:p>
    <w:p w:rsidR="001A1EBD" w:rsidRDefault="001075E6">
      <w:pPr>
        <w:ind w:left="-15" w:right="0"/>
      </w:pPr>
      <w:r>
        <w:t xml:space="preserve">（定義）   </w:t>
      </w:r>
    </w:p>
    <w:p w:rsidR="001A1EBD" w:rsidRDefault="001075E6">
      <w:pPr>
        <w:spacing w:after="41"/>
        <w:ind w:left="721" w:right="0" w:hanging="736"/>
      </w:pPr>
      <w:r>
        <w:t>第２条</w:t>
      </w:r>
      <w:r>
        <w:rPr>
          <w:rFonts w:ascii="Arial" w:eastAsia="Arial" w:hAnsi="Arial" w:cs="Arial"/>
        </w:rPr>
        <w:t xml:space="preserve"> </w:t>
      </w:r>
      <w:r>
        <w:t xml:space="preserve">この規程における「利益相反」とは、この法人の役職員が次の各号に掲げる取引（以下、「利益相反取引」という）を行う場合とする。  </w:t>
      </w:r>
    </w:p>
    <w:p w:rsidR="001A1EBD" w:rsidRDefault="001075E6">
      <w:pPr>
        <w:numPr>
          <w:ilvl w:val="0"/>
          <w:numId w:val="1"/>
        </w:numPr>
        <w:ind w:right="0" w:hanging="432"/>
      </w:pPr>
      <w:r>
        <w:t xml:space="preserve">自己又は第三者のためにするこの法人の事業に属する取引  </w:t>
      </w:r>
    </w:p>
    <w:p w:rsidR="001A1EBD" w:rsidRDefault="001075E6">
      <w:pPr>
        <w:numPr>
          <w:ilvl w:val="0"/>
          <w:numId w:val="1"/>
        </w:numPr>
        <w:spacing w:after="137"/>
        <w:ind w:right="0" w:hanging="432"/>
      </w:pPr>
      <w:r>
        <w:t xml:space="preserve">自己又は第三者のためにするこの法人との取引  </w:t>
      </w:r>
    </w:p>
    <w:p w:rsidR="001A1EBD" w:rsidRDefault="001075E6">
      <w:pPr>
        <w:numPr>
          <w:ilvl w:val="0"/>
          <w:numId w:val="1"/>
        </w:numPr>
        <w:ind w:right="0" w:hanging="432"/>
      </w:pPr>
      <w:r>
        <w:t xml:space="preserve">この法人から、自己が理事を務める企業、団体等（以下、「兼業先」という）として一定額以上の金銭（助成金を含む）若しくは便益の供与を得る、または一定額以上の物品、サービス等を購入する取引、並びに各種供与を得るための申請手続きをする行為  </w:t>
      </w:r>
    </w:p>
    <w:p w:rsidR="001A1EBD" w:rsidRDefault="001075E6">
      <w:pPr>
        <w:numPr>
          <w:ilvl w:val="0"/>
          <w:numId w:val="1"/>
        </w:numPr>
        <w:spacing w:after="38"/>
        <w:ind w:right="0" w:hanging="432"/>
      </w:pPr>
      <w:r>
        <w:t xml:space="preserve">この法人がその理事の債務を保証すること、その他理事以外の者との間におけるこの法人とその理事との利益が相反する取引  </w:t>
      </w:r>
    </w:p>
    <w:p w:rsidR="001A1EBD" w:rsidRDefault="001075E6">
      <w:pPr>
        <w:spacing w:after="106" w:line="259" w:lineRule="auto"/>
        <w:ind w:left="12" w:right="0" w:firstLine="0"/>
      </w:pPr>
      <w:r>
        <w:t xml:space="preserve">  </w:t>
      </w:r>
    </w:p>
    <w:p w:rsidR="001A1EBD" w:rsidRDefault="001075E6">
      <w:pPr>
        <w:spacing w:after="99"/>
        <w:ind w:left="10" w:hanging="10"/>
        <w:jc w:val="center"/>
      </w:pPr>
      <w:r>
        <w:t xml:space="preserve">第２章 兼業先の申告  </w:t>
      </w:r>
    </w:p>
    <w:p w:rsidR="001A1EBD" w:rsidRDefault="001075E6">
      <w:pPr>
        <w:spacing w:after="106" w:line="259" w:lineRule="auto"/>
        <w:ind w:left="12" w:right="0" w:firstLine="0"/>
      </w:pPr>
      <w:r>
        <w:t xml:space="preserve">   </w:t>
      </w:r>
    </w:p>
    <w:p w:rsidR="001A1EBD" w:rsidRDefault="001075E6">
      <w:pPr>
        <w:ind w:left="-15" w:right="0"/>
      </w:pPr>
      <w:r>
        <w:t xml:space="preserve">（申告）   </w:t>
      </w:r>
    </w:p>
    <w:p w:rsidR="001A1EBD" w:rsidRDefault="001075E6">
      <w:pPr>
        <w:spacing w:after="33"/>
        <w:ind w:left="721" w:right="0" w:hanging="736"/>
      </w:pPr>
      <w:r>
        <w:t>第３条</w:t>
      </w:r>
      <w:r>
        <w:rPr>
          <w:rFonts w:ascii="Arial" w:eastAsia="Arial" w:hAnsi="Arial" w:cs="Arial"/>
        </w:rPr>
        <w:t xml:space="preserve"> </w:t>
      </w:r>
      <w:r>
        <w:t xml:space="preserve">役職員は、この法人の理事就任時、及び職員の採用時に自己の兼業先の法人名および役職名について、コンプライアンス担当理事に指定様式をもって、書面、又は電磁的方法で申告するものとする。  </w:t>
      </w:r>
    </w:p>
    <w:p w:rsidR="00B07149" w:rsidRDefault="001075E6">
      <w:pPr>
        <w:ind w:left="296" w:right="0"/>
      </w:pPr>
      <w:r>
        <w:t xml:space="preserve">２ この理事はこの法人に再任された場合も、前項と同じ申告をするものとする。 </w:t>
      </w:r>
    </w:p>
    <w:p w:rsidR="001A1EBD" w:rsidRPr="00DE3AC4" w:rsidRDefault="00B07149" w:rsidP="001E7AB7">
      <w:pPr>
        <w:ind w:left="298" w:right="0" w:firstLine="0"/>
        <w:rPr>
          <w:color w:val="auto"/>
        </w:rPr>
      </w:pPr>
      <w:r w:rsidRPr="00DE3AC4">
        <w:rPr>
          <w:rFonts w:hint="eastAsia"/>
          <w:color w:val="auto"/>
        </w:rPr>
        <w:t>３ 役職員は毎年4月に定期的な報告として</w:t>
      </w:r>
      <w:r w:rsidRPr="00DE3AC4">
        <w:rPr>
          <w:color w:val="auto"/>
        </w:rPr>
        <w:t>兼職等の状況</w:t>
      </w:r>
      <w:r w:rsidR="001E7AB7" w:rsidRPr="00DE3AC4">
        <w:rPr>
          <w:rFonts w:hint="eastAsia"/>
          <w:color w:val="auto"/>
        </w:rPr>
        <w:t>について当該</w:t>
      </w:r>
      <w:r w:rsidRPr="00DE3AC4">
        <w:rPr>
          <w:color w:val="auto"/>
        </w:rPr>
        <w:t>規定に基づく申告</w:t>
      </w:r>
      <w:r w:rsidR="001E7AB7" w:rsidRPr="00DE3AC4">
        <w:rPr>
          <w:color w:val="auto"/>
        </w:rPr>
        <w:t>事項の有無及び内容について</w:t>
      </w:r>
      <w:r w:rsidR="001E7AB7" w:rsidRPr="00DE3AC4">
        <w:rPr>
          <w:rFonts w:hint="eastAsia"/>
          <w:color w:val="auto"/>
        </w:rPr>
        <w:t>コンプライアンス担当理事</w:t>
      </w:r>
      <w:r w:rsidRPr="00DE3AC4">
        <w:rPr>
          <w:color w:val="auto"/>
        </w:rPr>
        <w:t>に書面で申告するものとする。</w:t>
      </w:r>
    </w:p>
    <w:p w:rsidR="001A1EBD" w:rsidRDefault="001075E6">
      <w:pPr>
        <w:spacing w:after="106" w:line="259" w:lineRule="auto"/>
        <w:ind w:left="12" w:right="0" w:firstLine="0"/>
      </w:pPr>
      <w:r>
        <w:t xml:space="preserve">  </w:t>
      </w:r>
    </w:p>
    <w:p w:rsidR="001A1EBD" w:rsidRDefault="001075E6">
      <w:pPr>
        <w:ind w:left="-15" w:right="0"/>
      </w:pPr>
      <w:r>
        <w:t xml:space="preserve">（申告内容の変更申告）  </w:t>
      </w:r>
    </w:p>
    <w:p w:rsidR="001A1EBD" w:rsidRDefault="001075E6">
      <w:pPr>
        <w:spacing w:after="845"/>
        <w:ind w:left="721" w:right="0" w:hanging="736"/>
      </w:pPr>
      <w:r>
        <w:t>第４条</w:t>
      </w:r>
      <w:r>
        <w:rPr>
          <w:rFonts w:ascii="Arial" w:eastAsia="Arial" w:hAnsi="Arial" w:cs="Arial"/>
        </w:rPr>
        <w:t xml:space="preserve"> </w:t>
      </w:r>
      <w:r>
        <w:t>役職員は、この法人の理事就任後、及び職員の採用後に新たに他の企業、団体等の理事に就任した場合、新たな兼業先の法人名および役職名について、コンプライアンス担当理事に指定様式を</w:t>
      </w:r>
      <w:bookmarkStart w:id="0" w:name="_GoBack"/>
      <w:bookmarkEnd w:id="0"/>
      <w:r>
        <w:t xml:space="preserve">もって、書面、又は電磁的方法で申告するものとする。  </w:t>
      </w:r>
    </w:p>
    <w:p w:rsidR="001A1EBD" w:rsidRDefault="001075E6">
      <w:pPr>
        <w:spacing w:after="0" w:line="259" w:lineRule="auto"/>
        <w:ind w:left="12" w:right="0" w:firstLine="0"/>
      </w:pPr>
      <w:r>
        <w:lastRenderedPageBreak/>
        <w:t xml:space="preserve"> </w:t>
      </w:r>
    </w:p>
    <w:p w:rsidR="001A1EBD" w:rsidRDefault="001075E6">
      <w:pPr>
        <w:numPr>
          <w:ilvl w:val="0"/>
          <w:numId w:val="2"/>
        </w:numPr>
        <w:spacing w:after="75"/>
        <w:ind w:right="0" w:hanging="421"/>
      </w:pPr>
      <w:r>
        <w:t xml:space="preserve">この法人の理事就任時、及び職員の採用時またはその後、他の企業、団体等の理事を退任した場合も、前項と同じ申告をするものとする。  </w:t>
      </w:r>
    </w:p>
    <w:p w:rsidR="001A1EBD" w:rsidRDefault="001075E6">
      <w:pPr>
        <w:numPr>
          <w:ilvl w:val="0"/>
          <w:numId w:val="2"/>
        </w:numPr>
        <w:spacing w:after="479"/>
        <w:ind w:right="0" w:hanging="421"/>
      </w:pPr>
      <w:r>
        <w:t xml:space="preserve">この法人の役職員は、この法人の毎事業年の開始月末日時点で変更がある場合には、前項と同じ申告をするものとする。 </w:t>
      </w:r>
    </w:p>
    <w:p w:rsidR="001A1EBD" w:rsidRDefault="001075E6">
      <w:pPr>
        <w:ind w:left="-15" w:right="0"/>
      </w:pPr>
      <w:r>
        <w:t xml:space="preserve">（申告後の対応） </w:t>
      </w:r>
    </w:p>
    <w:p w:rsidR="001A1EBD" w:rsidRDefault="001075E6">
      <w:pPr>
        <w:spacing w:after="39"/>
        <w:ind w:left="721" w:right="0" w:hanging="736"/>
      </w:pPr>
      <w:r>
        <w:t>第５条</w:t>
      </w:r>
      <w:r>
        <w:rPr>
          <w:rFonts w:ascii="Arial" w:eastAsia="Arial" w:hAnsi="Arial" w:cs="Arial"/>
        </w:rPr>
        <w:t xml:space="preserve"> </w:t>
      </w:r>
      <w:r>
        <w:t xml:space="preserve">前２条の規定に基づく申告を受けたコンプライアンス担当理事は、申告内容を精査した上で、この法人との間での利益相反の状況を確認する。  </w:t>
      </w:r>
    </w:p>
    <w:p w:rsidR="001A1EBD" w:rsidRDefault="001075E6">
      <w:pPr>
        <w:spacing w:after="480"/>
        <w:ind w:left="721" w:right="0" w:hanging="421"/>
      </w:pPr>
      <w:r>
        <w:t xml:space="preserve">２ コンプライアンス担当理事は、前項の確認の結果、利益相反の状況があった場合、代表理事と協議の上、すみやかに適正化のために必要な措置をとる。 </w:t>
      </w:r>
    </w:p>
    <w:p w:rsidR="001A1EBD" w:rsidRDefault="001075E6">
      <w:pPr>
        <w:spacing w:after="505"/>
        <w:ind w:left="10" w:hanging="10"/>
        <w:jc w:val="center"/>
      </w:pPr>
      <w:r>
        <w:t xml:space="preserve">第３章 利益相反取引の承認および報告 </w:t>
      </w:r>
    </w:p>
    <w:p w:rsidR="001A1EBD" w:rsidRDefault="001075E6">
      <w:pPr>
        <w:ind w:left="-15" w:right="0"/>
      </w:pPr>
      <w:r>
        <w:t xml:space="preserve">（利益相反取引の承認）  </w:t>
      </w:r>
    </w:p>
    <w:p w:rsidR="001A1EBD" w:rsidRDefault="001075E6">
      <w:pPr>
        <w:spacing w:after="39"/>
        <w:ind w:left="721" w:right="0" w:hanging="736"/>
      </w:pPr>
      <w:r>
        <w:t>第６条</w:t>
      </w:r>
      <w:r>
        <w:rPr>
          <w:rFonts w:ascii="Arial" w:eastAsia="Arial" w:hAnsi="Arial" w:cs="Arial"/>
        </w:rPr>
        <w:t xml:space="preserve"> </w:t>
      </w:r>
      <w:r>
        <w:t xml:space="preserve">理事が利益相反取引をしようとする場合は、その取引について重要な事実を開示し、理事会の承認を得なければならない。  </w:t>
      </w:r>
    </w:p>
    <w:p w:rsidR="001A1EBD" w:rsidRDefault="001075E6">
      <w:pPr>
        <w:spacing w:after="479"/>
        <w:ind w:left="717" w:right="0" w:hanging="421"/>
      </w:pPr>
      <w:r>
        <w:t>２ 前</w:t>
      </w:r>
      <w:r w:rsidRPr="008A54B9">
        <w:rPr>
          <w:color w:val="auto"/>
        </w:rPr>
        <w:t>項</w:t>
      </w:r>
      <w:r>
        <w:t xml:space="preserve">の開示事実にかかる理事会での承認に際しては当該利益相反取引をしようとする理事は、その決議に加わることができない。 </w:t>
      </w:r>
    </w:p>
    <w:p w:rsidR="001A1EBD" w:rsidRDefault="001075E6">
      <w:pPr>
        <w:ind w:left="-15" w:right="0"/>
      </w:pPr>
      <w:r>
        <w:t xml:space="preserve">（利益相反取引の報告） </w:t>
      </w:r>
    </w:p>
    <w:p w:rsidR="001A1EBD" w:rsidRDefault="001075E6">
      <w:pPr>
        <w:spacing w:after="427"/>
        <w:ind w:left="721" w:right="0" w:hanging="736"/>
      </w:pPr>
      <w:r>
        <w:t>第７条</w:t>
      </w:r>
      <w:r>
        <w:rPr>
          <w:rFonts w:ascii="Arial" w:eastAsia="Arial" w:hAnsi="Arial" w:cs="Arial"/>
        </w:rPr>
        <w:t xml:space="preserve"> </w:t>
      </w:r>
      <w:r>
        <w:t xml:space="preserve">前条の利益相反取引をした理事は、その取引の重要な事実を遅滞なく、理事会に報告しなければならない。 </w:t>
      </w:r>
    </w:p>
    <w:p w:rsidR="001A1EBD" w:rsidRDefault="001075E6">
      <w:pPr>
        <w:spacing w:after="505"/>
        <w:ind w:left="10" w:right="206" w:hanging="10"/>
        <w:jc w:val="center"/>
      </w:pPr>
      <w:r>
        <w:t xml:space="preserve">第４章 利益相反管理態勢 </w:t>
      </w:r>
    </w:p>
    <w:p w:rsidR="001A1EBD" w:rsidRDefault="001075E6">
      <w:pPr>
        <w:ind w:left="-15" w:right="0"/>
      </w:pPr>
      <w:r>
        <w:t xml:space="preserve">（理事会の責任）  </w:t>
      </w:r>
    </w:p>
    <w:p w:rsidR="001A1EBD" w:rsidRDefault="001075E6">
      <w:pPr>
        <w:spacing w:after="33"/>
        <w:ind w:left="721" w:right="0" w:hanging="736"/>
      </w:pPr>
      <w:r>
        <w:t>第８条</w:t>
      </w:r>
      <w:r>
        <w:rPr>
          <w:rFonts w:ascii="Arial" w:eastAsia="Arial" w:hAnsi="Arial" w:cs="Arial"/>
        </w:rPr>
        <w:t xml:space="preserve"> </w:t>
      </w:r>
      <w:r>
        <w:t xml:space="preserve">理事会は、利益相反管理の重要性を認識し、この法人の利益が不当に害されることのないよう、利益相反管理体制を整備・確立するため、以下に掲げる事項について責任を有する。  </w:t>
      </w:r>
    </w:p>
    <w:p w:rsidR="001A1EBD" w:rsidRDefault="001075E6">
      <w:pPr>
        <w:numPr>
          <w:ilvl w:val="0"/>
          <w:numId w:val="3"/>
        </w:numPr>
        <w:ind w:right="0" w:hanging="424"/>
      </w:pPr>
      <w:r>
        <w:t>利益相反管理方針の制定、改廃に関すること</w:t>
      </w:r>
    </w:p>
    <w:p w:rsidR="001A1EBD" w:rsidRDefault="001075E6">
      <w:pPr>
        <w:numPr>
          <w:ilvl w:val="0"/>
          <w:numId w:val="3"/>
        </w:numPr>
        <w:ind w:right="0" w:hanging="424"/>
      </w:pPr>
      <w:r>
        <w:t>利益相反管理体制の整備に関すること</w:t>
      </w:r>
    </w:p>
    <w:p w:rsidR="001A1EBD" w:rsidRDefault="001075E6">
      <w:pPr>
        <w:spacing w:after="1" w:line="259" w:lineRule="auto"/>
        <w:ind w:right="120" w:firstLine="0"/>
        <w:jc w:val="right"/>
      </w:pPr>
      <w:r>
        <w:t xml:space="preserve"> </w:t>
      </w:r>
    </w:p>
    <w:p w:rsidR="001A1EBD" w:rsidRDefault="001075E6">
      <w:pPr>
        <w:spacing w:after="570" w:line="259" w:lineRule="auto"/>
        <w:ind w:left="12" w:right="0" w:firstLine="0"/>
      </w:pPr>
      <w:r>
        <w:rPr>
          <w:rFonts w:ascii="游明朝" w:eastAsia="游明朝" w:hAnsi="游明朝" w:cs="游明朝"/>
        </w:rPr>
        <w:t xml:space="preserve"> </w:t>
      </w:r>
      <w:r>
        <w:t xml:space="preserve"> </w:t>
      </w:r>
    </w:p>
    <w:p w:rsidR="001A1EBD" w:rsidRDefault="001075E6">
      <w:pPr>
        <w:ind w:left="-15" w:right="0"/>
      </w:pPr>
      <w:r>
        <w:t xml:space="preserve">（代表理事の責任）   </w:t>
      </w:r>
    </w:p>
    <w:p w:rsidR="001A1EBD" w:rsidRDefault="001075E6">
      <w:pPr>
        <w:spacing w:after="38"/>
        <w:ind w:left="721" w:right="0" w:hanging="736"/>
      </w:pPr>
      <w:r>
        <w:t>第９条</w:t>
      </w:r>
      <w:r>
        <w:rPr>
          <w:rFonts w:ascii="Arial" w:eastAsia="Arial" w:hAnsi="Arial" w:cs="Arial"/>
        </w:rPr>
        <w:t xml:space="preserve"> </w:t>
      </w:r>
      <w:r>
        <w:t xml:space="preserve">代表理事は、この法人の利益相反管理態勢の統括責任者として、この規程で定めるもののほか、次の各号に掲げる事項を実施する責任を有する。  </w:t>
      </w:r>
    </w:p>
    <w:p w:rsidR="001A1EBD" w:rsidRDefault="001075E6">
      <w:pPr>
        <w:numPr>
          <w:ilvl w:val="0"/>
          <w:numId w:val="4"/>
        </w:numPr>
        <w:spacing w:after="138"/>
        <w:ind w:left="1144" w:right="0" w:hanging="396"/>
      </w:pPr>
      <w:r>
        <w:t xml:space="preserve">利益相反のおそれのある取引の特定および管理方法に関すること  </w:t>
      </w:r>
    </w:p>
    <w:p w:rsidR="001A1EBD" w:rsidRDefault="001075E6">
      <w:pPr>
        <w:numPr>
          <w:ilvl w:val="0"/>
          <w:numId w:val="4"/>
        </w:numPr>
        <w:spacing w:after="137"/>
        <w:ind w:left="1144" w:right="0" w:hanging="396"/>
      </w:pPr>
      <w:r>
        <w:lastRenderedPageBreak/>
        <w:t xml:space="preserve">利益相反の状況があった場合の是正措置に関すること  </w:t>
      </w:r>
    </w:p>
    <w:p w:rsidR="001A1EBD" w:rsidRDefault="001075E6">
      <w:pPr>
        <w:numPr>
          <w:ilvl w:val="0"/>
          <w:numId w:val="4"/>
        </w:numPr>
        <w:spacing w:after="137"/>
        <w:ind w:left="1144" w:right="0" w:hanging="396"/>
      </w:pPr>
      <w:r>
        <w:t xml:space="preserve">利益相反管理に関する役職員の教育および啓発態勢の整備に関すること  </w:t>
      </w:r>
    </w:p>
    <w:p w:rsidR="001A1EBD" w:rsidRDefault="001075E6">
      <w:pPr>
        <w:numPr>
          <w:ilvl w:val="0"/>
          <w:numId w:val="4"/>
        </w:numPr>
        <w:ind w:left="1144" w:right="0" w:hanging="396"/>
      </w:pPr>
      <w:r>
        <w:t xml:space="preserve">その他利益相反管理を適切に行うための必要な措置に関すること  </w:t>
      </w:r>
    </w:p>
    <w:p w:rsidR="001A1EBD" w:rsidRDefault="001075E6">
      <w:pPr>
        <w:spacing w:after="102" w:line="259" w:lineRule="auto"/>
        <w:ind w:left="12" w:right="0" w:firstLine="0"/>
      </w:pPr>
      <w:r>
        <w:t xml:space="preserve">  </w:t>
      </w:r>
    </w:p>
    <w:p w:rsidR="001A1EBD" w:rsidRDefault="001075E6">
      <w:pPr>
        <w:ind w:left="-15" w:right="0"/>
      </w:pPr>
      <w:r>
        <w:t xml:space="preserve">（コンプライアンス担当理事の役割と責任）   </w:t>
      </w:r>
    </w:p>
    <w:p w:rsidR="001A1EBD" w:rsidRDefault="001075E6">
      <w:pPr>
        <w:spacing w:after="33"/>
        <w:ind w:left="721" w:right="0" w:hanging="736"/>
      </w:pPr>
      <w:r>
        <w:t>第１０条</w:t>
      </w:r>
      <w:r>
        <w:rPr>
          <w:rFonts w:ascii="Arial" w:eastAsia="Arial" w:hAnsi="Arial" w:cs="Arial"/>
        </w:rPr>
        <w:t xml:space="preserve"> </w:t>
      </w:r>
      <w:r>
        <w:t xml:space="preserve">コンプライアンス担当理事は、この法人の利益相反管理態勢全般にかかる統括担当者として、この規程で定めるもののほか、次の各号に掲げる事項を実施する役割と責任を有する。  </w:t>
      </w:r>
    </w:p>
    <w:p w:rsidR="001A1EBD" w:rsidRDefault="001075E6">
      <w:pPr>
        <w:numPr>
          <w:ilvl w:val="0"/>
          <w:numId w:val="5"/>
        </w:numPr>
        <w:spacing w:after="39"/>
        <w:ind w:right="0" w:hanging="424"/>
      </w:pPr>
      <w:r>
        <w:t xml:space="preserve">利益相反のおそれのある取引の特定および利益相反管理を的確に実施するとともに、その有効性について定期的に検証を行い、改善すること </w:t>
      </w:r>
    </w:p>
    <w:p w:rsidR="001A1EBD" w:rsidRDefault="001075E6">
      <w:pPr>
        <w:numPr>
          <w:ilvl w:val="0"/>
          <w:numId w:val="5"/>
        </w:numPr>
        <w:spacing w:after="74"/>
        <w:ind w:right="0" w:hanging="424"/>
      </w:pPr>
      <w:r>
        <w:t xml:space="preserve">利益相反の特定または管理に必要な情報を入手し集約すること  </w:t>
      </w:r>
    </w:p>
    <w:p w:rsidR="001A1EBD" w:rsidRDefault="001075E6">
      <w:pPr>
        <w:numPr>
          <w:ilvl w:val="0"/>
          <w:numId w:val="5"/>
        </w:numPr>
        <w:spacing w:after="137"/>
        <w:ind w:right="0" w:hanging="424"/>
      </w:pPr>
      <w:r>
        <w:t xml:space="preserve">利益相反の状況があった場合に是正のための措置を講ずること  </w:t>
      </w:r>
    </w:p>
    <w:p w:rsidR="001A1EBD" w:rsidRDefault="001075E6">
      <w:pPr>
        <w:numPr>
          <w:ilvl w:val="0"/>
          <w:numId w:val="5"/>
        </w:numPr>
        <w:spacing w:after="51"/>
        <w:ind w:right="0" w:hanging="424"/>
      </w:pPr>
      <w:r>
        <w:t>利益相反の特定およびその管理のために行った措置について記録し、作成日から</w:t>
      </w:r>
    </w:p>
    <w:p w:rsidR="001A1EBD" w:rsidRDefault="001075E6">
      <w:pPr>
        <w:spacing w:after="46"/>
        <w:ind w:left="1145" w:right="0"/>
      </w:pPr>
      <w:r>
        <w:t xml:space="preserve">５年間保存すること  </w:t>
      </w:r>
    </w:p>
    <w:p w:rsidR="001A1EBD" w:rsidRDefault="001075E6">
      <w:pPr>
        <w:numPr>
          <w:ilvl w:val="0"/>
          <w:numId w:val="5"/>
        </w:numPr>
        <w:spacing w:after="41"/>
        <w:ind w:right="0" w:hanging="424"/>
      </w:pPr>
      <w:r>
        <w:t xml:space="preserve">役職員に対して定期的な研修を実施し、利益相反管理について役職員の周知徹底を図ること  </w:t>
      </w:r>
    </w:p>
    <w:p w:rsidR="001A1EBD" w:rsidRDefault="001075E6">
      <w:pPr>
        <w:numPr>
          <w:ilvl w:val="0"/>
          <w:numId w:val="5"/>
        </w:numPr>
        <w:ind w:right="0" w:hanging="424"/>
      </w:pPr>
      <w:r>
        <w:t xml:space="preserve">その他利益相反管理を適切に行うための必要な措置を実施すること  </w:t>
      </w:r>
    </w:p>
    <w:p w:rsidR="001A1EBD" w:rsidRDefault="001075E6">
      <w:pPr>
        <w:spacing w:after="103" w:line="259" w:lineRule="auto"/>
        <w:ind w:left="721" w:right="0" w:firstLine="0"/>
      </w:pPr>
      <w:r>
        <w:t xml:space="preserve">  </w:t>
      </w:r>
    </w:p>
    <w:p w:rsidR="001A1EBD" w:rsidRDefault="001075E6">
      <w:pPr>
        <w:ind w:left="-15" w:right="0"/>
      </w:pPr>
      <w:r>
        <w:t xml:space="preserve">（監事による内部監査）   </w:t>
      </w:r>
    </w:p>
    <w:p w:rsidR="001A1EBD" w:rsidRDefault="001075E6">
      <w:pPr>
        <w:spacing w:after="39"/>
        <w:ind w:left="721" w:right="0" w:hanging="736"/>
      </w:pPr>
      <w:r>
        <w:t>第１１条</w:t>
      </w:r>
      <w:r>
        <w:rPr>
          <w:rFonts w:ascii="Arial" w:eastAsia="Arial" w:hAnsi="Arial" w:cs="Arial"/>
        </w:rPr>
        <w:t xml:space="preserve"> </w:t>
      </w:r>
      <w:r>
        <w:t xml:space="preserve">監事は、利益相反管理にかかる人的構成および業務運営体制について、定期的に検証を行うものとする。  </w:t>
      </w:r>
    </w:p>
    <w:p w:rsidR="001A1EBD" w:rsidRDefault="001075E6">
      <w:pPr>
        <w:spacing w:after="74"/>
        <w:ind w:left="721" w:right="0" w:hanging="425"/>
      </w:pPr>
      <w:r>
        <w:t xml:space="preserve">２ 監事は前項の検証の結果について、必要に応じて理事会または総会に報告するものとする。  </w:t>
      </w:r>
    </w:p>
    <w:p w:rsidR="001A1EBD" w:rsidRDefault="001075E6">
      <w:pPr>
        <w:spacing w:after="107" w:line="259" w:lineRule="auto"/>
        <w:ind w:left="12" w:right="0" w:firstLine="0"/>
      </w:pPr>
      <w:r>
        <w:t xml:space="preserve">    </w:t>
      </w:r>
    </w:p>
    <w:p w:rsidR="001A1EBD" w:rsidRDefault="001075E6">
      <w:pPr>
        <w:spacing w:after="99"/>
        <w:ind w:left="10" w:right="201" w:hanging="10"/>
        <w:jc w:val="center"/>
      </w:pPr>
      <w:r>
        <w:t xml:space="preserve">第５章 その他  </w:t>
      </w:r>
    </w:p>
    <w:p w:rsidR="001A1EBD" w:rsidRDefault="001075E6">
      <w:pPr>
        <w:spacing w:after="31" w:line="348" w:lineRule="auto"/>
        <w:ind w:left="-15" w:right="3384"/>
      </w:pPr>
      <w:r>
        <w:t xml:space="preserve">  （規程の改廃）   第１２条</w:t>
      </w:r>
      <w:r>
        <w:rPr>
          <w:rFonts w:ascii="Arial" w:eastAsia="Arial" w:hAnsi="Arial" w:cs="Arial"/>
        </w:rPr>
        <w:t xml:space="preserve"> </w:t>
      </w:r>
      <w:r>
        <w:t xml:space="preserve">この規程の改廃は、理事会の決議を経て行う。  </w:t>
      </w:r>
    </w:p>
    <w:p w:rsidR="001A1EBD" w:rsidRDefault="001075E6">
      <w:pPr>
        <w:spacing w:after="106" w:line="259" w:lineRule="auto"/>
        <w:ind w:left="12" w:right="0" w:firstLine="0"/>
      </w:pPr>
      <w:r>
        <w:t xml:space="preserve">   </w:t>
      </w:r>
    </w:p>
    <w:p w:rsidR="001A1EBD" w:rsidRDefault="001075E6">
      <w:pPr>
        <w:ind w:left="-15" w:right="0"/>
      </w:pPr>
      <w:r>
        <w:t xml:space="preserve">附 則   </w:t>
      </w:r>
    </w:p>
    <w:p w:rsidR="00B07149" w:rsidRDefault="001075E6" w:rsidP="00B07149">
      <w:pPr>
        <w:spacing w:after="861"/>
        <w:ind w:left="116" w:right="0"/>
      </w:pPr>
      <w:r>
        <w:t>この規程は、令和２年１２月２５日から施行する。 （令和２年１２月２５日理事会決議）</w:t>
      </w:r>
    </w:p>
    <w:p w:rsidR="001A1EBD" w:rsidRDefault="001075E6">
      <w:pPr>
        <w:spacing w:after="0" w:line="259" w:lineRule="auto"/>
        <w:ind w:left="12" w:right="0" w:firstLine="0"/>
      </w:pPr>
      <w:r>
        <w:t xml:space="preserve"> </w:t>
      </w:r>
    </w:p>
    <w:sectPr w:rsidR="001A1EBD">
      <w:footerReference w:type="even" r:id="rId7"/>
      <w:footerReference w:type="default" r:id="rId8"/>
      <w:footerReference w:type="first" r:id="rId9"/>
      <w:pgSz w:w="11908" w:h="16836"/>
      <w:pgMar w:top="890" w:right="1475" w:bottom="843" w:left="1701" w:header="720" w:footer="121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F88" w:rsidRDefault="00687F88">
      <w:pPr>
        <w:spacing w:after="0" w:line="240" w:lineRule="auto"/>
      </w:pPr>
      <w:r>
        <w:separator/>
      </w:r>
    </w:p>
  </w:endnote>
  <w:endnote w:type="continuationSeparator" w:id="0">
    <w:p w:rsidR="00687F88" w:rsidRDefault="0068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BD" w:rsidRDefault="001075E6">
    <w:pPr>
      <w:spacing w:after="0" w:line="259" w:lineRule="auto"/>
      <w:ind w:right="199"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BD" w:rsidRDefault="001075E6">
    <w:pPr>
      <w:spacing w:after="0" w:line="259" w:lineRule="auto"/>
      <w:ind w:right="199" w:firstLine="0"/>
      <w:jc w:val="center"/>
    </w:pPr>
    <w:r>
      <w:fldChar w:fldCharType="begin"/>
    </w:r>
    <w:r>
      <w:instrText xml:space="preserve"> PAGE   \* MERGEFORMAT </w:instrText>
    </w:r>
    <w:r>
      <w:fldChar w:fldCharType="separate"/>
    </w:r>
    <w:r w:rsidR="00DE3AC4">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EBD" w:rsidRDefault="001075E6">
    <w:pPr>
      <w:spacing w:after="0" w:line="259" w:lineRule="auto"/>
      <w:ind w:right="199"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F88" w:rsidRDefault="00687F88">
      <w:pPr>
        <w:spacing w:after="0" w:line="240" w:lineRule="auto"/>
      </w:pPr>
      <w:r>
        <w:separator/>
      </w:r>
    </w:p>
  </w:footnote>
  <w:footnote w:type="continuationSeparator" w:id="0">
    <w:p w:rsidR="00687F88" w:rsidRDefault="00687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834BC"/>
    <w:multiLevelType w:val="hybridMultilevel"/>
    <w:tmpl w:val="BFD6F2A2"/>
    <w:lvl w:ilvl="0" w:tplc="CAE687FC">
      <w:start w:val="1"/>
      <w:numFmt w:val="decimal"/>
      <w:lvlText w:val="(%1)"/>
      <w:lvlJc w:val="left"/>
      <w:pPr>
        <w:ind w:left="11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E0CB204">
      <w:start w:val="1"/>
      <w:numFmt w:val="lowerLetter"/>
      <w:lvlText w:val="%2"/>
      <w:lvlJc w:val="left"/>
      <w:pPr>
        <w:ind w:left="18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22441C">
      <w:start w:val="1"/>
      <w:numFmt w:val="lowerRoman"/>
      <w:lvlText w:val="%3"/>
      <w:lvlJc w:val="left"/>
      <w:pPr>
        <w:ind w:left="25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94608A">
      <w:start w:val="1"/>
      <w:numFmt w:val="decimal"/>
      <w:lvlText w:val="%4"/>
      <w:lvlJc w:val="left"/>
      <w:pPr>
        <w:ind w:left="32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1C84642">
      <w:start w:val="1"/>
      <w:numFmt w:val="lowerLetter"/>
      <w:lvlText w:val="%5"/>
      <w:lvlJc w:val="left"/>
      <w:pPr>
        <w:ind w:left="39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714FD22">
      <w:start w:val="1"/>
      <w:numFmt w:val="lowerRoman"/>
      <w:lvlText w:val="%6"/>
      <w:lvlJc w:val="left"/>
      <w:pPr>
        <w:ind w:left="46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1649C84">
      <w:start w:val="1"/>
      <w:numFmt w:val="decimal"/>
      <w:lvlText w:val="%7"/>
      <w:lvlJc w:val="left"/>
      <w:pPr>
        <w:ind w:left="54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35EF858">
      <w:start w:val="1"/>
      <w:numFmt w:val="lowerLetter"/>
      <w:lvlText w:val="%8"/>
      <w:lvlJc w:val="left"/>
      <w:pPr>
        <w:ind w:left="61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8C24168">
      <w:start w:val="1"/>
      <w:numFmt w:val="lowerRoman"/>
      <w:lvlText w:val="%9"/>
      <w:lvlJc w:val="left"/>
      <w:pPr>
        <w:ind w:left="68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6CB71F8"/>
    <w:multiLevelType w:val="hybridMultilevel"/>
    <w:tmpl w:val="FFAE81D2"/>
    <w:lvl w:ilvl="0" w:tplc="C944E674">
      <w:start w:val="1"/>
      <w:numFmt w:val="decimal"/>
      <w:lvlText w:val="(%1)"/>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E68FE0">
      <w:start w:val="1"/>
      <w:numFmt w:val="lowerLetter"/>
      <w:lvlText w:val="%2"/>
      <w:lvlJc w:val="left"/>
      <w:pPr>
        <w:ind w:left="18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F5888E6">
      <w:start w:val="1"/>
      <w:numFmt w:val="lowerRoman"/>
      <w:lvlText w:val="%3"/>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C7AEF58">
      <w:start w:val="1"/>
      <w:numFmt w:val="decimal"/>
      <w:lvlText w:val="%4"/>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41449C8">
      <w:start w:val="1"/>
      <w:numFmt w:val="lowerLetter"/>
      <w:lvlText w:val="%5"/>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A4249E">
      <w:start w:val="1"/>
      <w:numFmt w:val="lowerRoman"/>
      <w:lvlText w:val="%6"/>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594771A">
      <w:start w:val="1"/>
      <w:numFmt w:val="decimal"/>
      <w:lvlText w:val="%7"/>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6C4FCF2">
      <w:start w:val="1"/>
      <w:numFmt w:val="lowerLetter"/>
      <w:lvlText w:val="%8"/>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11438E0">
      <w:start w:val="1"/>
      <w:numFmt w:val="lowerRoman"/>
      <w:lvlText w:val="%9"/>
      <w:lvlJc w:val="left"/>
      <w:pPr>
        <w:ind w:left="6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4321168"/>
    <w:multiLevelType w:val="hybridMultilevel"/>
    <w:tmpl w:val="11368F52"/>
    <w:lvl w:ilvl="0" w:tplc="DC6A8DE0">
      <w:start w:val="1"/>
      <w:numFmt w:val="decimal"/>
      <w:lvlText w:val="(%1)"/>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742E8B8">
      <w:start w:val="1"/>
      <w:numFmt w:val="lowerLetter"/>
      <w:lvlText w:val="%2"/>
      <w:lvlJc w:val="left"/>
      <w:pPr>
        <w:ind w:left="18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224D10">
      <w:start w:val="1"/>
      <w:numFmt w:val="lowerRoman"/>
      <w:lvlText w:val="%3"/>
      <w:lvlJc w:val="left"/>
      <w:pPr>
        <w:ind w:left="25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06E0398">
      <w:start w:val="1"/>
      <w:numFmt w:val="decimal"/>
      <w:lvlText w:val="%4"/>
      <w:lvlJc w:val="left"/>
      <w:pPr>
        <w:ind w:left="3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1745D4A">
      <w:start w:val="1"/>
      <w:numFmt w:val="lowerLetter"/>
      <w:lvlText w:val="%5"/>
      <w:lvlJc w:val="left"/>
      <w:pPr>
        <w:ind w:left="39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D44ABF6">
      <w:start w:val="1"/>
      <w:numFmt w:val="lowerRoman"/>
      <w:lvlText w:val="%6"/>
      <w:lvlJc w:val="left"/>
      <w:pPr>
        <w:ind w:left="4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96CC614">
      <w:start w:val="1"/>
      <w:numFmt w:val="decimal"/>
      <w:lvlText w:val="%7"/>
      <w:lvlJc w:val="left"/>
      <w:pPr>
        <w:ind w:left="54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C04180">
      <w:start w:val="1"/>
      <w:numFmt w:val="lowerLetter"/>
      <w:lvlText w:val="%8"/>
      <w:lvlJc w:val="left"/>
      <w:pPr>
        <w:ind w:left="61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5ED312">
      <w:start w:val="1"/>
      <w:numFmt w:val="lowerRoman"/>
      <w:lvlText w:val="%9"/>
      <w:lvlJc w:val="left"/>
      <w:pPr>
        <w:ind w:left="68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F2A0230"/>
    <w:multiLevelType w:val="hybridMultilevel"/>
    <w:tmpl w:val="25A6DB06"/>
    <w:lvl w:ilvl="0" w:tplc="F15C167C">
      <w:start w:val="2"/>
      <w:numFmt w:val="decimalFullWidth"/>
      <w:lvlText w:val="%1"/>
      <w:lvlJc w:val="left"/>
      <w:pPr>
        <w:ind w:left="7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5C4E3A4">
      <w:start w:val="1"/>
      <w:numFmt w:val="lowerLetter"/>
      <w:lvlText w:val="%2"/>
      <w:lvlJc w:val="left"/>
      <w:pPr>
        <w:ind w:left="14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A9E6152">
      <w:start w:val="1"/>
      <w:numFmt w:val="lowerRoman"/>
      <w:lvlText w:val="%3"/>
      <w:lvlJc w:val="left"/>
      <w:pPr>
        <w:ind w:left="21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4BA1852">
      <w:start w:val="1"/>
      <w:numFmt w:val="decimal"/>
      <w:lvlText w:val="%4"/>
      <w:lvlJc w:val="left"/>
      <w:pPr>
        <w:ind w:left="28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7A8504">
      <w:start w:val="1"/>
      <w:numFmt w:val="lowerLetter"/>
      <w:lvlText w:val="%5"/>
      <w:lvlJc w:val="left"/>
      <w:pPr>
        <w:ind w:left="35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A24A54E">
      <w:start w:val="1"/>
      <w:numFmt w:val="lowerRoman"/>
      <w:lvlText w:val="%6"/>
      <w:lvlJc w:val="left"/>
      <w:pPr>
        <w:ind w:left="4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FFCA67A">
      <w:start w:val="1"/>
      <w:numFmt w:val="decimal"/>
      <w:lvlText w:val="%7"/>
      <w:lvlJc w:val="left"/>
      <w:pPr>
        <w:ind w:left="50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6365A">
      <w:start w:val="1"/>
      <w:numFmt w:val="lowerLetter"/>
      <w:lvlText w:val="%8"/>
      <w:lvlJc w:val="left"/>
      <w:pPr>
        <w:ind w:left="57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541C20">
      <w:start w:val="1"/>
      <w:numFmt w:val="lowerRoman"/>
      <w:lvlText w:val="%9"/>
      <w:lvlJc w:val="left"/>
      <w:pPr>
        <w:ind w:left="64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75A18A0"/>
    <w:multiLevelType w:val="hybridMultilevel"/>
    <w:tmpl w:val="D8527F2E"/>
    <w:lvl w:ilvl="0" w:tplc="8892F1E2">
      <w:start w:val="1"/>
      <w:numFmt w:val="decimal"/>
      <w:lvlText w:val="(%1)"/>
      <w:lvlJc w:val="left"/>
      <w:pPr>
        <w:ind w:left="1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2EE8FDE">
      <w:start w:val="1"/>
      <w:numFmt w:val="lowerLetter"/>
      <w:lvlText w:val="%2"/>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438A246">
      <w:start w:val="1"/>
      <w:numFmt w:val="lowerRoman"/>
      <w:lvlText w:val="%3"/>
      <w:lvlJc w:val="left"/>
      <w:pPr>
        <w:ind w:left="25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68449FA">
      <w:start w:val="1"/>
      <w:numFmt w:val="decimal"/>
      <w:lvlText w:val="%4"/>
      <w:lvlJc w:val="left"/>
      <w:pPr>
        <w:ind w:left="32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F24CF64">
      <w:start w:val="1"/>
      <w:numFmt w:val="lowerLetter"/>
      <w:lvlText w:val="%5"/>
      <w:lvlJc w:val="left"/>
      <w:pPr>
        <w:ind w:left="39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4427CF4">
      <w:start w:val="1"/>
      <w:numFmt w:val="lowerRoman"/>
      <w:lvlText w:val="%6"/>
      <w:lvlJc w:val="left"/>
      <w:pPr>
        <w:ind w:left="46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9BC8DE0">
      <w:start w:val="1"/>
      <w:numFmt w:val="decimal"/>
      <w:lvlText w:val="%7"/>
      <w:lvlJc w:val="left"/>
      <w:pPr>
        <w:ind w:left="54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F4A0CA2">
      <w:start w:val="1"/>
      <w:numFmt w:val="lowerLetter"/>
      <w:lvlText w:val="%8"/>
      <w:lvlJc w:val="left"/>
      <w:pPr>
        <w:ind w:left="61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480B0C4">
      <w:start w:val="1"/>
      <w:numFmt w:val="lowerRoman"/>
      <w:lvlText w:val="%9"/>
      <w:lvlJc w:val="left"/>
      <w:pPr>
        <w:ind w:left="6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BD"/>
    <w:rsid w:val="001075E6"/>
    <w:rsid w:val="001A1EBD"/>
    <w:rsid w:val="001E7AB7"/>
    <w:rsid w:val="00431A8C"/>
    <w:rsid w:val="00687F88"/>
    <w:rsid w:val="008A54B9"/>
    <w:rsid w:val="00B07149"/>
    <w:rsid w:val="00D218CC"/>
    <w:rsid w:val="00DE3AC4"/>
    <w:rsid w:val="00EB6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D9E9E7F-42A4-4A4F-9BF3-36E23A94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1" w:line="265" w:lineRule="auto"/>
      <w:ind w:right="202" w:firstLine="2"/>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149"/>
    <w:pPr>
      <w:tabs>
        <w:tab w:val="center" w:pos="4252"/>
        <w:tab w:val="right" w:pos="8504"/>
      </w:tabs>
      <w:snapToGrid w:val="0"/>
    </w:pPr>
  </w:style>
  <w:style w:type="character" w:customStyle="1" w:styleId="a4">
    <w:name w:val="ヘッダー (文字)"/>
    <w:basedOn w:val="a0"/>
    <w:link w:val="a3"/>
    <w:uiPriority w:val="99"/>
    <w:rsid w:val="00B0714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米山広明</cp:lastModifiedBy>
  <cp:revision>2</cp:revision>
  <dcterms:created xsi:type="dcterms:W3CDTF">2022-02-02T02:10:00Z</dcterms:created>
  <dcterms:modified xsi:type="dcterms:W3CDTF">2022-02-02T02:10:00Z</dcterms:modified>
</cp:coreProperties>
</file>